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9" w:type="dxa"/>
        <w:tblInd w:w="-214" w:type="dxa"/>
        <w:tblLook w:val="01E0"/>
      </w:tblPr>
      <w:tblGrid>
        <w:gridCol w:w="4382"/>
        <w:gridCol w:w="4997"/>
      </w:tblGrid>
      <w:tr w:rsidR="00DD12FB" w:rsidRPr="00F153F4" w:rsidTr="00CA6FF4">
        <w:tc>
          <w:tcPr>
            <w:tcW w:w="4382" w:type="dxa"/>
          </w:tcPr>
          <w:p w:rsidR="00DD12FB" w:rsidRPr="00F153F4" w:rsidRDefault="00DD12FB" w:rsidP="00CA6FF4">
            <w:pPr>
              <w:spacing w:before="20"/>
              <w:jc w:val="right"/>
              <w:rPr>
                <w:rFonts w:ascii="Times New Roman" w:hAnsi="Times New Roman"/>
                <w:b/>
                <w:spacing w:val="-8"/>
                <w:sz w:val="24"/>
                <w:szCs w:val="24"/>
              </w:rPr>
            </w:pPr>
            <w:r w:rsidRPr="00F153F4">
              <w:rPr>
                <w:rFonts w:ascii="Times New Roman" w:hAnsi="Times New Roman"/>
                <w:b/>
                <w:spacing w:val="-8"/>
                <w:sz w:val="24"/>
                <w:szCs w:val="24"/>
              </w:rPr>
              <w:t>BỘ VĂN HOÁ, THỂ THAO VÀ DU LỊCH</w:t>
            </w:r>
          </w:p>
          <w:p w:rsidR="00DD12FB" w:rsidRPr="00F153F4" w:rsidRDefault="00B2682B" w:rsidP="00CA6FF4">
            <w:pPr>
              <w:jc w:val="center"/>
              <w:rPr>
                <w:rFonts w:ascii="Times New Roman" w:hAnsi="Times New Roman"/>
              </w:rPr>
            </w:pPr>
            <w:r w:rsidRPr="00F153F4">
              <w:rPr>
                <w:rFonts w:ascii="Times New Roman" w:hAnsi="Times New Roman"/>
                <w:b/>
                <w:noProof/>
                <w:sz w:val="25"/>
                <w:szCs w:val="25"/>
              </w:rPr>
              <w:pict>
                <v:line id="_x0000_s1027" style="position:absolute;left:0;text-align:left;flip:y;z-index:251661312" from="73.7pt,3.1pt" to="150.7pt,3.1pt"/>
              </w:pict>
            </w:r>
          </w:p>
          <w:p w:rsidR="00DD12FB" w:rsidRPr="00F153F4" w:rsidRDefault="00DD12FB" w:rsidP="00CA6FF4">
            <w:pPr>
              <w:spacing w:before="120"/>
              <w:jc w:val="center"/>
              <w:rPr>
                <w:rFonts w:ascii="Times New Roman" w:hAnsi="Times New Roman"/>
                <w:sz w:val="26"/>
                <w:szCs w:val="26"/>
              </w:rPr>
            </w:pPr>
            <w:r w:rsidRPr="00F153F4">
              <w:rPr>
                <w:rFonts w:ascii="Times New Roman" w:hAnsi="Times New Roman"/>
                <w:sz w:val="26"/>
                <w:szCs w:val="26"/>
              </w:rPr>
              <w:t xml:space="preserve">Số: </w:t>
            </w:r>
            <w:r w:rsidRPr="00F153F4">
              <w:rPr>
                <w:rFonts w:ascii="Times New Roman" w:hAnsi="Times New Roman"/>
                <w:b/>
                <w:sz w:val="26"/>
                <w:szCs w:val="26"/>
              </w:rPr>
              <w:t>3862</w:t>
            </w:r>
            <w:r w:rsidRPr="00F153F4">
              <w:rPr>
                <w:rFonts w:ascii="Times New Roman" w:hAnsi="Times New Roman"/>
                <w:sz w:val="26"/>
                <w:szCs w:val="26"/>
              </w:rPr>
              <w:t xml:space="preserve"> /QĐ-BVHTTDL</w:t>
            </w:r>
          </w:p>
        </w:tc>
        <w:tc>
          <w:tcPr>
            <w:tcW w:w="4997" w:type="dxa"/>
          </w:tcPr>
          <w:p w:rsidR="00DD12FB" w:rsidRPr="00F153F4" w:rsidRDefault="00DD12FB" w:rsidP="00CA6FF4">
            <w:pPr>
              <w:spacing w:before="20"/>
              <w:jc w:val="center"/>
              <w:rPr>
                <w:rFonts w:ascii="Times New Roman" w:hAnsi="Times New Roman"/>
                <w:b/>
                <w:spacing w:val="-8"/>
                <w:sz w:val="24"/>
                <w:szCs w:val="24"/>
              </w:rPr>
            </w:pPr>
            <w:r w:rsidRPr="00F153F4">
              <w:rPr>
                <w:rFonts w:ascii="Times New Roman" w:hAnsi="Times New Roman"/>
                <w:b/>
                <w:spacing w:val="-8"/>
                <w:sz w:val="24"/>
                <w:szCs w:val="24"/>
              </w:rPr>
              <w:t>CỘNG HOÀ XÃ HỘI CHỦ NGHĨA VIỆT NAM</w:t>
            </w:r>
          </w:p>
          <w:p w:rsidR="00DD12FB" w:rsidRPr="00F153F4" w:rsidRDefault="00DD12FB" w:rsidP="00CA6FF4">
            <w:pPr>
              <w:jc w:val="center"/>
              <w:rPr>
                <w:rFonts w:ascii="Times New Roman" w:hAnsi="Times New Roman"/>
                <w:b/>
                <w:sz w:val="26"/>
                <w:szCs w:val="26"/>
              </w:rPr>
            </w:pPr>
            <w:r w:rsidRPr="00F153F4">
              <w:rPr>
                <w:rFonts w:ascii="Times New Roman" w:hAnsi="Times New Roman"/>
                <w:b/>
                <w:sz w:val="26"/>
                <w:szCs w:val="26"/>
              </w:rPr>
              <w:t>Độc lập - Tự do - Hạnh phúc</w:t>
            </w:r>
          </w:p>
          <w:p w:rsidR="00DD12FB" w:rsidRPr="00F153F4" w:rsidRDefault="00B2682B" w:rsidP="00CA6FF4">
            <w:pPr>
              <w:jc w:val="center"/>
              <w:rPr>
                <w:rFonts w:ascii="Times New Roman" w:hAnsi="Times New Roman"/>
                <w:b/>
              </w:rPr>
            </w:pPr>
            <w:r w:rsidRPr="00F153F4">
              <w:rPr>
                <w:rFonts w:ascii="Times New Roman" w:hAnsi="Times New Roman"/>
                <w:b/>
                <w:noProof/>
                <w:sz w:val="25"/>
                <w:szCs w:val="25"/>
              </w:rPr>
              <w:pict>
                <v:line id="_x0000_s1028" style="position:absolute;left:0;text-align:left;z-index:251662336" from="45.35pt,4.25pt" to="216.3pt,4.25pt"/>
              </w:pict>
            </w:r>
          </w:p>
          <w:p w:rsidR="00DD12FB" w:rsidRPr="00F153F4" w:rsidRDefault="00DD12FB" w:rsidP="00CA6FF4">
            <w:pPr>
              <w:jc w:val="center"/>
              <w:rPr>
                <w:rFonts w:ascii="Times New Roman" w:hAnsi="Times New Roman"/>
                <w:b/>
              </w:rPr>
            </w:pPr>
            <w:r w:rsidRPr="00F153F4">
              <w:rPr>
                <w:rFonts w:ascii="Times New Roman" w:hAnsi="Times New Roman"/>
                <w:i/>
              </w:rPr>
              <w:t xml:space="preserve">Hà Nội, ngày </w:t>
            </w:r>
            <w:r w:rsidRPr="00F153F4">
              <w:rPr>
                <w:rFonts w:ascii="Times New Roman" w:hAnsi="Times New Roman"/>
                <w:b/>
                <w:i/>
              </w:rPr>
              <w:t>04</w:t>
            </w:r>
            <w:r w:rsidRPr="00F153F4">
              <w:rPr>
                <w:rFonts w:ascii="Times New Roman" w:hAnsi="Times New Roman"/>
                <w:i/>
              </w:rPr>
              <w:t xml:space="preserve">  tháng </w:t>
            </w:r>
            <w:r w:rsidRPr="00F153F4">
              <w:rPr>
                <w:rFonts w:ascii="Times New Roman" w:hAnsi="Times New Roman"/>
                <w:b/>
                <w:i/>
              </w:rPr>
              <w:t xml:space="preserve">11 </w:t>
            </w:r>
            <w:r w:rsidRPr="00F153F4">
              <w:rPr>
                <w:rFonts w:ascii="Times New Roman" w:hAnsi="Times New Roman"/>
                <w:i/>
              </w:rPr>
              <w:t xml:space="preserve"> năm 2016</w:t>
            </w:r>
          </w:p>
        </w:tc>
      </w:tr>
    </w:tbl>
    <w:p w:rsidR="00DD12FB" w:rsidRPr="00B95FF0" w:rsidRDefault="00DD12FB" w:rsidP="00DD12FB">
      <w:pPr>
        <w:jc w:val="center"/>
        <w:rPr>
          <w:rFonts w:ascii="Times New Roman" w:hAnsi="Times New Roman"/>
          <w:b/>
          <w:bCs/>
          <w:sz w:val="30"/>
          <w:szCs w:val="30"/>
        </w:rPr>
      </w:pPr>
    </w:p>
    <w:p w:rsidR="00DD12FB" w:rsidRPr="00B95FF0" w:rsidRDefault="00DD12FB" w:rsidP="00DD12FB">
      <w:pPr>
        <w:jc w:val="center"/>
        <w:rPr>
          <w:rFonts w:ascii="Times New Roman" w:hAnsi="Times New Roman"/>
          <w:b/>
          <w:bCs/>
          <w:sz w:val="30"/>
          <w:szCs w:val="30"/>
        </w:rPr>
      </w:pPr>
    </w:p>
    <w:p w:rsidR="00DD12FB" w:rsidRPr="00B95FF0" w:rsidRDefault="00DD12FB" w:rsidP="00DD12FB">
      <w:pPr>
        <w:jc w:val="center"/>
        <w:rPr>
          <w:rFonts w:ascii="Times New Roman" w:hAnsi="Times New Roman"/>
          <w:b/>
          <w:bCs/>
          <w:sz w:val="30"/>
          <w:szCs w:val="30"/>
        </w:rPr>
      </w:pPr>
      <w:r w:rsidRPr="00B95FF0">
        <w:rPr>
          <w:rFonts w:ascii="Times New Roman" w:hAnsi="Times New Roman"/>
          <w:b/>
          <w:bCs/>
          <w:sz w:val="30"/>
          <w:szCs w:val="30"/>
        </w:rPr>
        <w:t>QUYẾT ĐỊNH</w:t>
      </w:r>
    </w:p>
    <w:p w:rsidR="00DD12FB" w:rsidRDefault="00DD12FB" w:rsidP="00DD12FB">
      <w:pPr>
        <w:jc w:val="center"/>
        <w:rPr>
          <w:rFonts w:ascii="Times New Roman" w:hAnsi="Times New Roman"/>
          <w:b/>
          <w:bCs/>
          <w:spacing w:val="-4"/>
        </w:rPr>
      </w:pPr>
      <w:r w:rsidRPr="00B95FF0">
        <w:rPr>
          <w:rFonts w:ascii="Times New Roman" w:hAnsi="Times New Roman"/>
          <w:b/>
          <w:bCs/>
          <w:spacing w:val="-4"/>
        </w:rPr>
        <w:t xml:space="preserve">Phê duyệt </w:t>
      </w:r>
      <w:r>
        <w:rPr>
          <w:rFonts w:ascii="Times New Roman" w:hAnsi="Times New Roman"/>
          <w:b/>
          <w:bCs/>
          <w:spacing w:val="-4"/>
        </w:rPr>
        <w:t xml:space="preserve">Quy chế bán đấu giá doanh nghiệp </w:t>
      </w:r>
    </w:p>
    <w:p w:rsidR="00DD12FB" w:rsidRPr="00B95FF0" w:rsidRDefault="00DD12FB" w:rsidP="00DD12FB">
      <w:pPr>
        <w:jc w:val="center"/>
        <w:rPr>
          <w:rFonts w:ascii="Times New Roman" w:hAnsi="Times New Roman"/>
          <w:b/>
          <w:bCs/>
          <w:spacing w:val="-4"/>
        </w:rPr>
      </w:pPr>
      <w:r w:rsidRPr="00B95FF0">
        <w:rPr>
          <w:rFonts w:ascii="Times New Roman" w:hAnsi="Times New Roman"/>
          <w:b/>
          <w:bCs/>
          <w:spacing w:val="-4"/>
        </w:rPr>
        <w:t xml:space="preserve">Công ty Phát hành sách và Văn hoá tổng hợp Quảng Ngãi </w:t>
      </w:r>
    </w:p>
    <w:p w:rsidR="00DD12FB" w:rsidRPr="00B95FF0" w:rsidRDefault="00B2682B" w:rsidP="00DD12FB">
      <w:pPr>
        <w:jc w:val="center"/>
        <w:rPr>
          <w:rFonts w:ascii="Times New Roman" w:hAnsi="Times New Roman"/>
          <w:b/>
          <w:bCs/>
        </w:rPr>
      </w:pPr>
      <w:r w:rsidRPr="00B2682B">
        <w:rPr>
          <w:rFonts w:ascii="Times New Roman" w:hAnsi="Times New Roman"/>
          <w:noProof/>
        </w:rPr>
        <w:pict>
          <v:line id="_x0000_s1026" style="position:absolute;left:0;text-align:left;z-index:251660288" from="170.1pt,5.65pt" to="255.15pt,5.65pt"/>
        </w:pict>
      </w:r>
    </w:p>
    <w:p w:rsidR="00DD12FB" w:rsidRPr="00B95FF0" w:rsidRDefault="00DD12FB" w:rsidP="00DD12FB">
      <w:pPr>
        <w:spacing w:before="120" w:after="360"/>
        <w:jc w:val="center"/>
        <w:rPr>
          <w:rFonts w:ascii="Times New Roman" w:hAnsi="Times New Roman"/>
          <w:b/>
          <w:bCs/>
        </w:rPr>
      </w:pPr>
      <w:r w:rsidRPr="00B95FF0">
        <w:rPr>
          <w:rFonts w:ascii="Times New Roman" w:hAnsi="Times New Roman"/>
          <w:b/>
          <w:bCs/>
        </w:rPr>
        <w:t>BỘ TRƯỞNG BỘ VĂN HOÁ, THỂ THAO VÀ DU LỊCH</w:t>
      </w:r>
    </w:p>
    <w:p w:rsidR="00DD12FB" w:rsidRPr="00B95FF0" w:rsidRDefault="00DD12FB" w:rsidP="00DD12FB">
      <w:pPr>
        <w:spacing w:before="60"/>
        <w:ind w:firstLine="680"/>
        <w:jc w:val="both"/>
        <w:rPr>
          <w:rFonts w:ascii="Times New Roman" w:hAnsi="Times New Roman"/>
        </w:rPr>
      </w:pPr>
      <w:r w:rsidRPr="00B95FF0">
        <w:rPr>
          <w:rFonts w:ascii="Times New Roman" w:hAnsi="Times New Roman"/>
        </w:rPr>
        <w:t>Căn cứ Nghị định số 76/2013/NĐ-CP ngày 16/7/2013 của Chính phủ quy định chức năng, nhiệm vụ, quyền hạn và cơ cấu tổ chức của Bộ Văn hoá, Thể thao và Du lịch;</w:t>
      </w:r>
    </w:p>
    <w:p w:rsidR="00DD12FB" w:rsidRPr="00002C2F" w:rsidRDefault="00DD12FB" w:rsidP="00DD12FB">
      <w:pPr>
        <w:spacing w:before="60"/>
        <w:ind w:firstLine="680"/>
        <w:jc w:val="both"/>
        <w:rPr>
          <w:rFonts w:ascii="Times New Roman" w:hAnsi="Times New Roman"/>
        </w:rPr>
      </w:pPr>
      <w:r w:rsidRPr="003B5E0D">
        <w:rPr>
          <w:rFonts w:ascii="Times New Roman" w:hAnsi="Times New Roman"/>
          <w:bCs/>
        </w:rPr>
        <w:tab/>
      </w:r>
      <w:r w:rsidRPr="003B5E0D">
        <w:rPr>
          <w:rFonts w:ascii="Times New Roman" w:hAnsi="Times New Roman"/>
        </w:rPr>
        <w:t>Căn cứ Nghị định số 128/2014/NĐ-CP ngày 31/12/2014 của Chính phủ về việc bán, giao và chuyển giao doanh nghiệp 100% vốn Nhà nước;</w:t>
      </w:r>
    </w:p>
    <w:p w:rsidR="00DD12FB" w:rsidRPr="00002C2F" w:rsidRDefault="00DD12FB" w:rsidP="00DD12FB">
      <w:pPr>
        <w:spacing w:before="60"/>
        <w:ind w:firstLine="680"/>
        <w:jc w:val="both"/>
        <w:rPr>
          <w:rFonts w:ascii="Times New Roman" w:hAnsi="Times New Roman"/>
        </w:rPr>
      </w:pPr>
      <w:r w:rsidRPr="00002C2F">
        <w:rPr>
          <w:rFonts w:ascii="Times New Roman" w:hAnsi="Times New Roman"/>
        </w:rPr>
        <w:tab/>
        <w:t>Căn cứ Nghị định số 17/2010/NĐ-CP ngày 04/3/2010 của Chính phủ về bán đấu giá tài sản;</w:t>
      </w:r>
    </w:p>
    <w:p w:rsidR="00DD12FB" w:rsidRPr="00002C2F" w:rsidRDefault="00DD12FB" w:rsidP="00DD12FB">
      <w:pPr>
        <w:spacing w:before="60"/>
        <w:ind w:firstLine="680"/>
        <w:jc w:val="both"/>
        <w:rPr>
          <w:rFonts w:ascii="Times New Roman" w:hAnsi="Times New Roman"/>
        </w:rPr>
      </w:pPr>
      <w:r w:rsidRPr="00002C2F">
        <w:rPr>
          <w:rFonts w:ascii="Times New Roman" w:hAnsi="Times New Roman"/>
        </w:rPr>
        <w:t xml:space="preserve">Căn cứ Thông tư số 23/2010/TT-BTP ngày 06/12/2010 của Bộ Tư </w:t>
      </w:r>
      <w:r w:rsidR="00D04F6D">
        <w:rPr>
          <w:rFonts w:ascii="Times New Roman" w:hAnsi="Times New Roman"/>
        </w:rPr>
        <w:t>p</w:t>
      </w:r>
      <w:r w:rsidRPr="00002C2F">
        <w:rPr>
          <w:rFonts w:ascii="Times New Roman" w:hAnsi="Times New Roman"/>
        </w:rPr>
        <w:t xml:space="preserve">háp </w:t>
      </w:r>
      <w:r>
        <w:rPr>
          <w:rFonts w:ascii="Times New Roman" w:hAnsi="Times New Roman"/>
        </w:rPr>
        <w:t xml:space="preserve">quy định chi tiết và </w:t>
      </w:r>
      <w:r w:rsidRPr="00002C2F">
        <w:rPr>
          <w:rFonts w:ascii="Times New Roman" w:hAnsi="Times New Roman"/>
        </w:rPr>
        <w:t>hướng dẫn</w:t>
      </w:r>
      <w:r>
        <w:rPr>
          <w:rFonts w:ascii="Times New Roman" w:hAnsi="Times New Roman"/>
        </w:rPr>
        <w:t xml:space="preserve"> thực hiện</w:t>
      </w:r>
      <w:r w:rsidRPr="00002C2F">
        <w:rPr>
          <w:rFonts w:ascii="Times New Roman" w:hAnsi="Times New Roman"/>
        </w:rPr>
        <w:t xml:space="preserve"> Nghị định </w:t>
      </w:r>
      <w:r>
        <w:rPr>
          <w:rFonts w:ascii="Times New Roman" w:hAnsi="Times New Roman"/>
        </w:rPr>
        <w:t xml:space="preserve">số </w:t>
      </w:r>
      <w:r w:rsidRPr="00002C2F">
        <w:rPr>
          <w:rFonts w:ascii="Times New Roman" w:hAnsi="Times New Roman"/>
        </w:rPr>
        <w:t>17/2010/NĐ-CP ngày 04</w:t>
      </w:r>
      <w:r>
        <w:rPr>
          <w:rFonts w:ascii="Times New Roman" w:hAnsi="Times New Roman"/>
        </w:rPr>
        <w:t>/</w:t>
      </w:r>
      <w:r w:rsidRPr="00002C2F">
        <w:rPr>
          <w:rFonts w:ascii="Times New Roman" w:hAnsi="Times New Roman"/>
        </w:rPr>
        <w:t>3</w:t>
      </w:r>
      <w:r>
        <w:rPr>
          <w:rFonts w:ascii="Times New Roman" w:hAnsi="Times New Roman"/>
        </w:rPr>
        <w:t>/</w:t>
      </w:r>
      <w:r w:rsidR="00D04F6D">
        <w:rPr>
          <w:rFonts w:ascii="Times New Roman" w:hAnsi="Times New Roman"/>
        </w:rPr>
        <w:t>2010 của Chính p</w:t>
      </w:r>
      <w:r w:rsidRPr="00002C2F">
        <w:rPr>
          <w:rFonts w:ascii="Times New Roman" w:hAnsi="Times New Roman"/>
        </w:rPr>
        <w:t>hủ về bán đấu giá tài sản;</w:t>
      </w:r>
    </w:p>
    <w:p w:rsidR="00DD12FB" w:rsidRPr="00B95FF0" w:rsidRDefault="00DD12FB" w:rsidP="00DD12FB">
      <w:pPr>
        <w:spacing w:before="60"/>
        <w:ind w:firstLine="680"/>
        <w:jc w:val="both"/>
        <w:rPr>
          <w:rFonts w:ascii="Times New Roman" w:hAnsi="Times New Roman"/>
        </w:rPr>
      </w:pPr>
      <w:r>
        <w:rPr>
          <w:rFonts w:ascii="Times New Roman" w:hAnsi="Times New Roman"/>
        </w:rPr>
        <w:tab/>
      </w:r>
      <w:r w:rsidRPr="00B95FF0">
        <w:rPr>
          <w:rFonts w:ascii="Times New Roman" w:hAnsi="Times New Roman"/>
        </w:rPr>
        <w:t xml:space="preserve">Căn cứ Quyết định số </w:t>
      </w:r>
      <w:r>
        <w:rPr>
          <w:rFonts w:ascii="Times New Roman" w:hAnsi="Times New Roman"/>
        </w:rPr>
        <w:t>3556/QĐ-BVHTTDL ngày 13</w:t>
      </w:r>
      <w:r w:rsidRPr="00B95FF0">
        <w:rPr>
          <w:rFonts w:ascii="Times New Roman" w:hAnsi="Times New Roman"/>
        </w:rPr>
        <w:t>/1</w:t>
      </w:r>
      <w:r>
        <w:rPr>
          <w:rFonts w:ascii="Times New Roman" w:hAnsi="Times New Roman"/>
        </w:rPr>
        <w:t>0</w:t>
      </w:r>
      <w:r w:rsidRPr="00B95FF0">
        <w:rPr>
          <w:rFonts w:ascii="Times New Roman" w:hAnsi="Times New Roman"/>
        </w:rPr>
        <w:t>/201</w:t>
      </w:r>
      <w:r>
        <w:rPr>
          <w:rFonts w:ascii="Times New Roman" w:hAnsi="Times New Roman"/>
        </w:rPr>
        <w:t>6</w:t>
      </w:r>
      <w:r w:rsidRPr="00B95FF0">
        <w:rPr>
          <w:rFonts w:ascii="Times New Roman" w:hAnsi="Times New Roman"/>
        </w:rPr>
        <w:t xml:space="preserve"> của Bộ Văn hóa, Thể thao và Du lịch về việc </w:t>
      </w:r>
      <w:r>
        <w:rPr>
          <w:rFonts w:ascii="Times New Roman" w:hAnsi="Times New Roman"/>
        </w:rPr>
        <w:t>phê duyệt Phương án</w:t>
      </w:r>
      <w:r w:rsidRPr="00B95FF0">
        <w:rPr>
          <w:rFonts w:ascii="Times New Roman" w:hAnsi="Times New Roman"/>
        </w:rPr>
        <w:t xml:space="preserve"> </w:t>
      </w:r>
      <w:r>
        <w:rPr>
          <w:rFonts w:ascii="Times New Roman" w:hAnsi="Times New Roman"/>
        </w:rPr>
        <w:t xml:space="preserve">bán và chuyển giao doanh nghiệp </w:t>
      </w:r>
      <w:r w:rsidRPr="00B95FF0">
        <w:rPr>
          <w:rFonts w:ascii="Times New Roman" w:hAnsi="Times New Roman"/>
        </w:rPr>
        <w:t>Côn</w:t>
      </w:r>
      <w:r w:rsidR="00D04F6D">
        <w:rPr>
          <w:rFonts w:ascii="Times New Roman" w:hAnsi="Times New Roman"/>
        </w:rPr>
        <w:t>g ty Phát hành sách và Văn hóa t</w:t>
      </w:r>
      <w:r w:rsidRPr="00B95FF0">
        <w:rPr>
          <w:rFonts w:ascii="Times New Roman" w:hAnsi="Times New Roman"/>
        </w:rPr>
        <w:t>ổng hợp Quảng Ngãi;</w:t>
      </w:r>
    </w:p>
    <w:p w:rsidR="00DD12FB" w:rsidRPr="003E1349" w:rsidRDefault="00DD12FB" w:rsidP="00DD12FB">
      <w:pPr>
        <w:spacing w:before="60"/>
        <w:ind w:firstLine="680"/>
        <w:jc w:val="both"/>
        <w:rPr>
          <w:rFonts w:ascii="Times New Roman" w:hAnsi="Times New Roman"/>
          <w:color w:val="000000"/>
        </w:rPr>
      </w:pPr>
      <w:r w:rsidRPr="00B95FF0">
        <w:rPr>
          <w:rFonts w:ascii="Times New Roman" w:hAnsi="Times New Roman"/>
        </w:rPr>
        <w:tab/>
      </w:r>
      <w:r w:rsidRPr="00002C2F">
        <w:rPr>
          <w:rFonts w:ascii="Times New Roman" w:hAnsi="Times New Roman"/>
        </w:rPr>
        <w:t>Căn cứ Tờ trình số 218/TTr-PHS-QNg ngày 18/10/2016 của Công ty Phát hành sách và Văn hoá tổng hợp Quảng Ngãi về việc phê duyệt</w:t>
      </w:r>
      <w:r>
        <w:rPr>
          <w:rFonts w:ascii="Times New Roman" w:hAnsi="Times New Roman"/>
          <w:color w:val="000000"/>
        </w:rPr>
        <w:t xml:space="preserve"> Quy chế bán đấu giá doanh nghiệp 100% vốn nhà nước Công ty Phát hành sách và Văn hoá tổng hợp Quảng Ngãi</w:t>
      </w:r>
      <w:r w:rsidRPr="003E1349">
        <w:rPr>
          <w:rFonts w:ascii="Times New Roman" w:hAnsi="Times New Roman"/>
          <w:color w:val="000000"/>
        </w:rPr>
        <w:t xml:space="preserve"> </w:t>
      </w:r>
      <w:r w:rsidRPr="003E1349">
        <w:rPr>
          <w:rFonts w:ascii="Times New Roman" w:hAnsi="Times New Roman"/>
          <w:i/>
          <w:color w:val="000000"/>
        </w:rPr>
        <w:t>(đính kèm</w:t>
      </w:r>
      <w:r>
        <w:rPr>
          <w:rFonts w:ascii="Times New Roman" w:hAnsi="Times New Roman"/>
          <w:i/>
          <w:color w:val="000000"/>
        </w:rPr>
        <w:t xml:space="preserve"> dự thảo Quy chế bán đấu giá)</w:t>
      </w:r>
      <w:r w:rsidRPr="003E1349">
        <w:rPr>
          <w:rFonts w:ascii="Times New Roman" w:hAnsi="Times New Roman"/>
          <w:i/>
          <w:color w:val="000000"/>
        </w:rPr>
        <w:t>;</w:t>
      </w:r>
    </w:p>
    <w:p w:rsidR="00DD12FB" w:rsidRPr="00B95FF0" w:rsidRDefault="00DD12FB" w:rsidP="00DD12FB">
      <w:pPr>
        <w:spacing w:before="60"/>
        <w:ind w:firstLine="720"/>
        <w:jc w:val="both"/>
        <w:rPr>
          <w:rFonts w:ascii="Times New Roman" w:hAnsi="Times New Roman"/>
          <w:spacing w:val="-6"/>
          <w:lang w:val="pt-BR"/>
        </w:rPr>
      </w:pPr>
      <w:r w:rsidRPr="00B95FF0">
        <w:rPr>
          <w:rFonts w:ascii="Times New Roman" w:hAnsi="Times New Roman"/>
          <w:spacing w:val="-6"/>
          <w:lang w:val="pt-BR"/>
        </w:rPr>
        <w:t xml:space="preserve">Xét đề nghị của Trưởng ban Đổi mới doanh nghiệp tại Công ty </w:t>
      </w:r>
      <w:r w:rsidRPr="00B95FF0">
        <w:rPr>
          <w:rFonts w:ascii="Times New Roman" w:hAnsi="Times New Roman"/>
          <w:color w:val="000000"/>
          <w:lang w:val="pt-BR"/>
        </w:rPr>
        <w:t>Phát hành sách và Văn hoá tổng hợp Quảng Ngãi và Vụ trưởng</w:t>
      </w:r>
      <w:r w:rsidRPr="00B95FF0">
        <w:rPr>
          <w:rFonts w:ascii="Times New Roman" w:hAnsi="Times New Roman"/>
          <w:bCs/>
          <w:lang w:val="pt-BR"/>
        </w:rPr>
        <w:t xml:space="preserve"> Vụ Kế hoạch, Tài chính,</w:t>
      </w:r>
    </w:p>
    <w:p w:rsidR="00DD12FB" w:rsidRPr="00B95FF0" w:rsidRDefault="00DD12FB" w:rsidP="00DD12FB">
      <w:pPr>
        <w:spacing w:before="360" w:after="360"/>
        <w:jc w:val="center"/>
        <w:rPr>
          <w:rFonts w:ascii="Times New Roman" w:hAnsi="Times New Roman"/>
          <w:b/>
          <w:bCs/>
          <w:lang w:val="pt-BR"/>
        </w:rPr>
      </w:pPr>
      <w:r w:rsidRPr="00B95FF0">
        <w:rPr>
          <w:rFonts w:ascii="Times New Roman" w:hAnsi="Times New Roman"/>
          <w:b/>
          <w:bCs/>
          <w:lang w:val="pt-BR"/>
        </w:rPr>
        <w:t>QUYẾT ĐỊNH:</w:t>
      </w:r>
    </w:p>
    <w:p w:rsidR="00DD12FB" w:rsidRDefault="00DD12FB" w:rsidP="00F153F4">
      <w:pPr>
        <w:spacing w:before="80" w:after="80"/>
        <w:ind w:firstLine="697"/>
        <w:jc w:val="both"/>
        <w:rPr>
          <w:rFonts w:ascii="Times New Roman" w:hAnsi="Times New Roman"/>
          <w:lang w:val="pt-BR"/>
        </w:rPr>
      </w:pPr>
      <w:r w:rsidRPr="006E2622">
        <w:rPr>
          <w:rFonts w:ascii="Times New Roman" w:hAnsi="Times New Roman"/>
          <w:b/>
          <w:lang w:val="pt-BR"/>
        </w:rPr>
        <w:t>Điều 1.</w:t>
      </w:r>
      <w:r w:rsidRPr="006E2622">
        <w:rPr>
          <w:rFonts w:ascii="Times New Roman" w:hAnsi="Times New Roman"/>
          <w:lang w:val="pt-BR"/>
        </w:rPr>
        <w:t xml:space="preserve"> Phê duyệt </w:t>
      </w:r>
      <w:r>
        <w:rPr>
          <w:rFonts w:ascii="Times New Roman" w:hAnsi="Times New Roman"/>
          <w:lang w:val="pt-BR"/>
        </w:rPr>
        <w:t xml:space="preserve">kèm theo Quyết định này Quy chế bán đấu giá doanh nghiệp </w:t>
      </w:r>
      <w:r w:rsidRPr="006E2622">
        <w:rPr>
          <w:rFonts w:ascii="Times New Roman" w:hAnsi="Times New Roman"/>
          <w:lang w:val="pt-BR"/>
        </w:rPr>
        <w:t>Công ty Phát hành sách và Văn hoá tổng hợp Quảng Ngãi</w:t>
      </w:r>
      <w:r>
        <w:rPr>
          <w:rFonts w:ascii="Times New Roman" w:hAnsi="Times New Roman"/>
          <w:lang w:val="pt-BR"/>
        </w:rPr>
        <w:t>.</w:t>
      </w:r>
      <w:r w:rsidRPr="00BD1B49">
        <w:rPr>
          <w:rFonts w:ascii="Times New Roman" w:hAnsi="Times New Roman"/>
          <w:lang w:val="pt-BR"/>
        </w:rPr>
        <w:t xml:space="preserve"> </w:t>
      </w:r>
    </w:p>
    <w:p w:rsidR="00DD12FB" w:rsidRDefault="00DD12FB" w:rsidP="00DD12FB">
      <w:pPr>
        <w:spacing w:before="80" w:after="80"/>
        <w:ind w:firstLine="697"/>
        <w:jc w:val="both"/>
        <w:rPr>
          <w:rFonts w:ascii="Times New Roman" w:hAnsi="Times New Roman"/>
          <w:lang w:val="pt-BR"/>
        </w:rPr>
      </w:pPr>
      <w:r>
        <w:rPr>
          <w:rFonts w:ascii="Times New Roman" w:hAnsi="Times New Roman"/>
          <w:lang w:val="pt-BR"/>
        </w:rPr>
        <w:t xml:space="preserve">Quy chế bán đấu giá doanh nghiệp </w:t>
      </w:r>
      <w:r w:rsidRPr="006E2622">
        <w:rPr>
          <w:rFonts w:ascii="Times New Roman" w:hAnsi="Times New Roman"/>
          <w:lang w:val="pt-BR"/>
        </w:rPr>
        <w:t xml:space="preserve">Công ty Phát hành sách và Văn hoá tổng hợp Quảng Ngãi </w:t>
      </w:r>
      <w:r>
        <w:rPr>
          <w:rFonts w:ascii="Times New Roman" w:hAnsi="Times New Roman"/>
          <w:lang w:val="pt-BR"/>
        </w:rPr>
        <w:t>gồm (05) Chương và 20 Điều được ban hành kèm theo Quyết định này.</w:t>
      </w:r>
    </w:p>
    <w:p w:rsidR="00DD12FB" w:rsidRPr="00002C2F" w:rsidRDefault="00DD12FB" w:rsidP="00F153F4">
      <w:pPr>
        <w:spacing w:before="80" w:after="80"/>
        <w:ind w:firstLine="697"/>
        <w:jc w:val="both"/>
        <w:rPr>
          <w:rFonts w:ascii="Times New Roman" w:hAnsi="Times New Roman"/>
        </w:rPr>
      </w:pPr>
      <w:r w:rsidRPr="00B95FF0">
        <w:rPr>
          <w:rFonts w:ascii="Times New Roman" w:hAnsi="Times New Roman"/>
          <w:b/>
          <w:lang w:val="vi-VN"/>
        </w:rPr>
        <w:t>Điều</w:t>
      </w:r>
      <w:r>
        <w:rPr>
          <w:rFonts w:ascii="Times New Roman" w:hAnsi="Times New Roman"/>
          <w:b/>
        </w:rPr>
        <w:t xml:space="preserve"> 2</w:t>
      </w:r>
      <w:r w:rsidRPr="00B95FF0">
        <w:rPr>
          <w:rFonts w:ascii="Times New Roman" w:hAnsi="Times New Roman"/>
          <w:b/>
          <w:lang w:val="vi-VN"/>
        </w:rPr>
        <w:t>.</w:t>
      </w:r>
      <w:r w:rsidRPr="00B95FF0">
        <w:rPr>
          <w:rFonts w:ascii="Times New Roman" w:hAnsi="Times New Roman"/>
          <w:lang w:val="vi-VN"/>
        </w:rPr>
        <w:t xml:space="preserve"> </w:t>
      </w:r>
      <w:r>
        <w:rPr>
          <w:rFonts w:ascii="Times New Roman" w:hAnsi="Times New Roman"/>
        </w:rPr>
        <w:t xml:space="preserve">Công ty Phát hành sách và Văn hoá tổng hợp Quảng Ngãi có trách nhiệm phối hợp với Công ty Cổ phần Chứng khoán Đông Nam Á (đơn vị tư vấn phương án bán doanh nghiệp) và Công ty cổ phần đấu giá và đầu tư DHL (đơn vị đấu giá chuyên nghiệp) để tiến hành các thủ tục công bố thông tin, thực </w:t>
      </w:r>
      <w:r w:rsidR="00A5582F">
        <w:rPr>
          <w:rFonts w:ascii="Times New Roman" w:hAnsi="Times New Roman"/>
        </w:rPr>
        <w:t xml:space="preserve">     </w:t>
      </w:r>
      <w:r>
        <w:rPr>
          <w:rFonts w:ascii="Times New Roman" w:hAnsi="Times New Roman"/>
        </w:rPr>
        <w:lastRenderedPageBreak/>
        <w:t>hiện các quy trình bán đấu giá doanh nghiệp đảm bảo tuân thủ đúng theo quy định tại Quy chế này và quy định pháp luật hiện hành.</w:t>
      </w:r>
    </w:p>
    <w:p w:rsidR="00DD12FB" w:rsidRDefault="00DD12FB" w:rsidP="00F153F4">
      <w:pPr>
        <w:spacing w:before="80" w:after="80"/>
        <w:ind w:firstLine="697"/>
        <w:jc w:val="both"/>
        <w:rPr>
          <w:rFonts w:ascii="Times New Roman" w:hAnsi="Times New Roman"/>
        </w:rPr>
      </w:pPr>
      <w:proofErr w:type="gramStart"/>
      <w:r w:rsidRPr="00BD1B49">
        <w:rPr>
          <w:rFonts w:ascii="Times New Roman" w:hAnsi="Times New Roman"/>
          <w:b/>
        </w:rPr>
        <w:t>Điều 3.</w:t>
      </w:r>
      <w:proofErr w:type="gramEnd"/>
      <w:r>
        <w:rPr>
          <w:rFonts w:ascii="Times New Roman" w:hAnsi="Times New Roman"/>
        </w:rPr>
        <w:t xml:space="preserve"> </w:t>
      </w:r>
      <w:r w:rsidRPr="00B95FF0">
        <w:rPr>
          <w:rFonts w:ascii="Times New Roman" w:hAnsi="Times New Roman"/>
          <w:lang w:val="vi-VN"/>
        </w:rPr>
        <w:t>Quyết định này có hiệu lực thi hành kể từ ngày ký.</w:t>
      </w:r>
    </w:p>
    <w:p w:rsidR="00DD12FB" w:rsidRPr="00B95FF0" w:rsidRDefault="00DD12FB" w:rsidP="00F153F4">
      <w:pPr>
        <w:spacing w:before="80" w:after="80"/>
        <w:ind w:firstLine="697"/>
        <w:jc w:val="both"/>
        <w:rPr>
          <w:rFonts w:ascii="Times New Roman" w:hAnsi="Times New Roman"/>
          <w:lang w:val="vi-VN"/>
        </w:rPr>
      </w:pPr>
      <w:proofErr w:type="gramStart"/>
      <w:r w:rsidRPr="00F55145">
        <w:rPr>
          <w:rFonts w:ascii="Times New Roman" w:hAnsi="Times New Roman"/>
          <w:b/>
        </w:rPr>
        <w:t>Điều 4.</w:t>
      </w:r>
      <w:proofErr w:type="gramEnd"/>
      <w:r>
        <w:rPr>
          <w:rFonts w:ascii="Times New Roman" w:hAnsi="Times New Roman"/>
        </w:rPr>
        <w:t xml:space="preserve"> </w:t>
      </w:r>
      <w:r w:rsidRPr="00B95FF0">
        <w:rPr>
          <w:rFonts w:ascii="Times New Roman" w:hAnsi="Times New Roman"/>
          <w:lang w:val="vi-VN"/>
        </w:rPr>
        <w:t>Chánh Văn phòng Bộ, Vụ trư</w:t>
      </w:r>
      <w:r w:rsidRPr="00B95FF0">
        <w:rPr>
          <w:rFonts w:ascii="Times New Roman" w:hAnsi="Times New Roman"/>
          <w:lang w:val="vi-VN"/>
        </w:rPr>
        <w:softHyphen/>
        <w:t xml:space="preserve">ởng Vụ Tổ chức cán bộ, Vụ trưởng Vụ Kế hoạch, Tài chính, Trưởng Ban đổi mới </w:t>
      </w:r>
      <w:r w:rsidRPr="003E1349">
        <w:rPr>
          <w:rFonts w:ascii="Times New Roman" w:hAnsi="Times New Roman"/>
          <w:lang w:val="vi-VN"/>
        </w:rPr>
        <w:t xml:space="preserve">và </w:t>
      </w:r>
      <w:r w:rsidRPr="008779C9">
        <w:rPr>
          <w:rFonts w:ascii="Times New Roman" w:hAnsi="Times New Roman"/>
          <w:lang w:val="vi-VN"/>
        </w:rPr>
        <w:t>P</w:t>
      </w:r>
      <w:r w:rsidRPr="003E1349">
        <w:rPr>
          <w:rFonts w:ascii="Times New Roman" w:hAnsi="Times New Roman"/>
          <w:lang w:val="vi-VN"/>
        </w:rPr>
        <w:t xml:space="preserve">hát triển doanh nghiệp Bộ, </w:t>
      </w:r>
      <w:r w:rsidRPr="00B95FF0">
        <w:rPr>
          <w:rFonts w:ascii="Times New Roman" w:hAnsi="Times New Roman"/>
          <w:lang w:val="vi-VN"/>
        </w:rPr>
        <w:t>Trưởng Ban đổi mới doanh nghiệp tại Công ty, Giám đốc Công ty Phát hành sách và Văn hoá tổng hợp Quảng Ngãi và các tổ chức, cá nhân có liên quan chịu trách nhiệm thi hành Quyết định này./.</w:t>
      </w:r>
    </w:p>
    <w:p w:rsidR="00DD12FB" w:rsidRPr="00B95FF0" w:rsidRDefault="00DD12FB" w:rsidP="00DD12FB">
      <w:pPr>
        <w:spacing w:before="80" w:after="80"/>
        <w:ind w:firstLine="697"/>
        <w:jc w:val="both"/>
        <w:rPr>
          <w:rFonts w:ascii="Times New Roman" w:hAnsi="Times New Roman"/>
          <w:lang w:val="vi-VN"/>
        </w:rPr>
      </w:pPr>
    </w:p>
    <w:tbl>
      <w:tblPr>
        <w:tblW w:w="9068" w:type="dxa"/>
        <w:tblLook w:val="01E0"/>
      </w:tblPr>
      <w:tblGrid>
        <w:gridCol w:w="4588"/>
        <w:gridCol w:w="4480"/>
      </w:tblGrid>
      <w:tr w:rsidR="00AF7D58" w:rsidRPr="00B95FF0" w:rsidTr="00AF7D58">
        <w:tc>
          <w:tcPr>
            <w:tcW w:w="4588" w:type="dxa"/>
          </w:tcPr>
          <w:p w:rsidR="00AF7D58" w:rsidRPr="00B95FF0" w:rsidRDefault="00AF7D58" w:rsidP="00CA6FF4">
            <w:pPr>
              <w:jc w:val="both"/>
              <w:rPr>
                <w:rFonts w:ascii="Times New Roman" w:hAnsi="Times New Roman"/>
                <w:b/>
                <w:bCs/>
                <w:i/>
                <w:iCs/>
                <w:sz w:val="24"/>
                <w:szCs w:val="24"/>
                <w:lang w:val="pt-BR"/>
              </w:rPr>
            </w:pPr>
            <w:r w:rsidRPr="00B95FF0">
              <w:rPr>
                <w:rFonts w:ascii="Times New Roman" w:hAnsi="Times New Roman"/>
                <w:b/>
                <w:bCs/>
                <w:i/>
                <w:iCs/>
                <w:sz w:val="24"/>
                <w:szCs w:val="24"/>
                <w:lang w:val="pt-BR"/>
              </w:rPr>
              <w:t>Nơi nhận:</w:t>
            </w:r>
          </w:p>
          <w:p w:rsidR="00AF7D58" w:rsidRPr="00B95FF0" w:rsidRDefault="00AF7D58" w:rsidP="00CA6FF4">
            <w:pPr>
              <w:jc w:val="both"/>
              <w:rPr>
                <w:rFonts w:ascii="Times New Roman" w:hAnsi="Times New Roman"/>
                <w:sz w:val="22"/>
                <w:szCs w:val="22"/>
                <w:lang w:val="vi-VN"/>
              </w:rPr>
            </w:pPr>
            <w:r w:rsidRPr="00B95FF0">
              <w:rPr>
                <w:rFonts w:ascii="Times New Roman" w:hAnsi="Times New Roman"/>
                <w:sz w:val="22"/>
                <w:szCs w:val="22"/>
                <w:lang w:val="vi-VN"/>
              </w:rPr>
              <w:t>- Như</w:t>
            </w:r>
            <w:r w:rsidRPr="00B95FF0">
              <w:rPr>
                <w:rFonts w:ascii="Times New Roman" w:hAnsi="Times New Roman"/>
                <w:sz w:val="22"/>
                <w:szCs w:val="22"/>
                <w:lang w:val="vi-VN"/>
              </w:rPr>
              <w:softHyphen/>
              <w:t xml:space="preserve"> Điều </w:t>
            </w:r>
            <w:r>
              <w:rPr>
                <w:rFonts w:ascii="Times New Roman" w:hAnsi="Times New Roman"/>
                <w:sz w:val="22"/>
                <w:szCs w:val="22"/>
              </w:rPr>
              <w:t>4</w:t>
            </w:r>
            <w:r w:rsidRPr="00B95FF0">
              <w:rPr>
                <w:rFonts w:ascii="Times New Roman" w:hAnsi="Times New Roman"/>
                <w:sz w:val="22"/>
                <w:szCs w:val="22"/>
                <w:lang w:val="vi-VN"/>
              </w:rPr>
              <w:t>;</w:t>
            </w:r>
          </w:p>
          <w:p w:rsidR="00AF7D58" w:rsidRPr="00B95FF0" w:rsidRDefault="00AF7D58" w:rsidP="00CA6FF4">
            <w:pPr>
              <w:jc w:val="both"/>
              <w:rPr>
                <w:rFonts w:ascii="Times New Roman" w:hAnsi="Times New Roman"/>
                <w:i/>
                <w:iCs/>
                <w:sz w:val="22"/>
                <w:szCs w:val="22"/>
                <w:lang w:val="vi-VN"/>
              </w:rPr>
            </w:pPr>
            <w:r w:rsidRPr="00B95FF0">
              <w:rPr>
                <w:rFonts w:ascii="Times New Roman" w:hAnsi="Times New Roman"/>
                <w:sz w:val="22"/>
                <w:szCs w:val="22"/>
                <w:lang w:val="vi-VN"/>
              </w:rPr>
              <w:t>- Bộ tr</w:t>
            </w:r>
            <w:r w:rsidRPr="00B95FF0">
              <w:rPr>
                <w:rFonts w:ascii="Times New Roman" w:hAnsi="Times New Roman"/>
                <w:sz w:val="22"/>
                <w:szCs w:val="22"/>
                <w:lang w:val="vi-VN"/>
              </w:rPr>
              <w:softHyphen/>
              <w:t xml:space="preserve">ưởng </w:t>
            </w:r>
            <w:r w:rsidRPr="00B95FF0">
              <w:rPr>
                <w:rFonts w:ascii="Times New Roman" w:hAnsi="Times New Roman"/>
                <w:i/>
                <w:iCs/>
                <w:sz w:val="22"/>
                <w:szCs w:val="22"/>
                <w:lang w:val="vi-VN"/>
              </w:rPr>
              <w:t>(để báo cáo)</w:t>
            </w:r>
            <w:r w:rsidRPr="00B95FF0">
              <w:rPr>
                <w:rFonts w:ascii="Times New Roman" w:hAnsi="Times New Roman"/>
                <w:iCs/>
                <w:sz w:val="22"/>
                <w:szCs w:val="22"/>
                <w:lang w:val="vi-VN"/>
              </w:rPr>
              <w:t>;</w:t>
            </w:r>
          </w:p>
          <w:p w:rsidR="00AF7D58" w:rsidRPr="00B95FF0" w:rsidRDefault="00AF7D58" w:rsidP="00CA6FF4">
            <w:pPr>
              <w:jc w:val="both"/>
              <w:rPr>
                <w:rFonts w:ascii="Times New Roman" w:hAnsi="Times New Roman"/>
                <w:sz w:val="22"/>
                <w:szCs w:val="22"/>
                <w:lang w:val="vi-VN"/>
              </w:rPr>
            </w:pPr>
            <w:r w:rsidRPr="00B95FF0">
              <w:rPr>
                <w:rFonts w:ascii="Times New Roman" w:hAnsi="Times New Roman"/>
                <w:iCs/>
                <w:sz w:val="22"/>
                <w:szCs w:val="22"/>
                <w:lang w:val="vi-VN"/>
              </w:rPr>
              <w:t>- Thứ trưởng Huỳnh Vĩnh Ái;</w:t>
            </w:r>
          </w:p>
          <w:p w:rsidR="00AF7D58" w:rsidRPr="003B5E0D" w:rsidRDefault="00AF7D58" w:rsidP="00CA6FF4">
            <w:pPr>
              <w:jc w:val="both"/>
              <w:rPr>
                <w:rFonts w:ascii="Times New Roman" w:hAnsi="Times New Roman"/>
                <w:sz w:val="22"/>
                <w:szCs w:val="22"/>
                <w:lang w:val="vi-VN"/>
              </w:rPr>
            </w:pPr>
            <w:r w:rsidRPr="003B5E0D">
              <w:rPr>
                <w:rFonts w:ascii="Times New Roman" w:hAnsi="Times New Roman"/>
                <w:sz w:val="22"/>
                <w:szCs w:val="22"/>
                <w:lang w:val="vi-VN"/>
              </w:rPr>
              <w:t>- L</w:t>
            </w:r>
            <w:r w:rsidRPr="003B5E0D">
              <w:rPr>
                <w:rFonts w:ascii="Times New Roman" w:hAnsi="Times New Roman"/>
                <w:sz w:val="22"/>
                <w:szCs w:val="22"/>
                <w:lang w:val="vi-VN"/>
              </w:rPr>
              <w:softHyphen/>
              <w:t xml:space="preserve">ưu: VT, </w:t>
            </w:r>
            <w:r>
              <w:rPr>
                <w:rFonts w:ascii="Times New Roman" w:hAnsi="Times New Roman"/>
                <w:sz w:val="22"/>
                <w:szCs w:val="22"/>
              </w:rPr>
              <w:t>KHTC</w:t>
            </w:r>
            <w:r w:rsidRPr="003B5E0D">
              <w:rPr>
                <w:rFonts w:ascii="Times New Roman" w:hAnsi="Times New Roman"/>
                <w:sz w:val="22"/>
                <w:szCs w:val="22"/>
                <w:lang w:val="vi-VN"/>
              </w:rPr>
              <w:t>, CC(20).</w:t>
            </w:r>
          </w:p>
          <w:p w:rsidR="00AF7D58" w:rsidRPr="003B5E0D" w:rsidRDefault="00AF7D58" w:rsidP="00CA6FF4">
            <w:pPr>
              <w:jc w:val="both"/>
              <w:rPr>
                <w:rFonts w:ascii="Times New Roman" w:hAnsi="Times New Roman"/>
                <w:lang w:val="vi-VN"/>
              </w:rPr>
            </w:pPr>
          </w:p>
        </w:tc>
        <w:tc>
          <w:tcPr>
            <w:tcW w:w="4480" w:type="dxa"/>
          </w:tcPr>
          <w:p w:rsidR="00AF7D58" w:rsidRPr="00B95FF0" w:rsidRDefault="00AF7D58" w:rsidP="004B00D9">
            <w:pPr>
              <w:jc w:val="center"/>
              <w:rPr>
                <w:rFonts w:ascii="Times New Roman" w:hAnsi="Times New Roman"/>
                <w:b/>
                <w:bCs/>
                <w:lang w:val="pt-BR"/>
              </w:rPr>
            </w:pPr>
            <w:r w:rsidRPr="00B95FF0">
              <w:rPr>
                <w:rFonts w:ascii="Times New Roman" w:hAnsi="Times New Roman"/>
                <w:b/>
                <w:bCs/>
                <w:lang w:val="pt-BR"/>
              </w:rPr>
              <w:t>KT. BỘ TRƯỞNG</w:t>
            </w:r>
          </w:p>
          <w:p w:rsidR="00AF7D58" w:rsidRPr="00B95FF0" w:rsidRDefault="00AF7D58" w:rsidP="004B00D9">
            <w:pPr>
              <w:jc w:val="center"/>
              <w:rPr>
                <w:rFonts w:ascii="Times New Roman" w:hAnsi="Times New Roman"/>
                <w:b/>
                <w:bCs/>
                <w:lang w:val="pt-BR"/>
              </w:rPr>
            </w:pPr>
            <w:r w:rsidRPr="00B95FF0">
              <w:rPr>
                <w:rFonts w:ascii="Times New Roman" w:hAnsi="Times New Roman"/>
                <w:b/>
                <w:bCs/>
                <w:lang w:val="pt-BR"/>
              </w:rPr>
              <w:t>THỨ TRƯỞNG</w:t>
            </w:r>
          </w:p>
          <w:p w:rsidR="00AF7D58" w:rsidRPr="00B95FF0" w:rsidRDefault="00AF7D58" w:rsidP="004B00D9">
            <w:pPr>
              <w:jc w:val="center"/>
              <w:rPr>
                <w:rFonts w:ascii="Times New Roman" w:hAnsi="Times New Roman"/>
                <w:b/>
                <w:bCs/>
                <w:lang w:val="pt-BR"/>
              </w:rPr>
            </w:pPr>
          </w:p>
          <w:p w:rsidR="00AF7D58" w:rsidRDefault="00A66C0A" w:rsidP="004B00D9">
            <w:pPr>
              <w:jc w:val="center"/>
              <w:rPr>
                <w:rFonts w:ascii="Times New Roman" w:hAnsi="Times New Roman"/>
                <w:b/>
                <w:bCs/>
                <w:lang w:val="pt-BR"/>
              </w:rPr>
            </w:pPr>
            <w:r>
              <w:rPr>
                <w:rFonts w:ascii="Times New Roman" w:hAnsi="Times New Roman"/>
                <w:b/>
                <w:bCs/>
                <w:lang w:val="pt-BR"/>
              </w:rPr>
              <w:t>(đã ký và đóng dấu)</w:t>
            </w:r>
          </w:p>
          <w:p w:rsidR="00F153F4" w:rsidRDefault="00F153F4" w:rsidP="004B00D9">
            <w:pPr>
              <w:jc w:val="center"/>
              <w:rPr>
                <w:rFonts w:ascii="Times New Roman" w:hAnsi="Times New Roman"/>
                <w:b/>
                <w:bCs/>
                <w:lang w:val="pt-BR"/>
              </w:rPr>
            </w:pPr>
          </w:p>
          <w:p w:rsidR="00AF7D58" w:rsidRPr="00B95FF0" w:rsidRDefault="00AF7D58" w:rsidP="004B00D9">
            <w:pPr>
              <w:jc w:val="center"/>
              <w:rPr>
                <w:rFonts w:ascii="Times New Roman" w:hAnsi="Times New Roman"/>
                <w:b/>
                <w:bCs/>
                <w:lang w:val="pt-BR"/>
              </w:rPr>
            </w:pPr>
          </w:p>
          <w:p w:rsidR="00AF7D58" w:rsidRPr="00B95FF0" w:rsidRDefault="00AF7D58" w:rsidP="004B00D9">
            <w:pPr>
              <w:jc w:val="center"/>
              <w:rPr>
                <w:rFonts w:ascii="Times New Roman" w:hAnsi="Times New Roman"/>
                <w:b/>
                <w:bCs/>
                <w:lang w:val="pt-BR"/>
              </w:rPr>
            </w:pPr>
            <w:r>
              <w:rPr>
                <w:rFonts w:ascii="Times New Roman" w:hAnsi="Times New Roman"/>
                <w:b/>
                <w:bCs/>
                <w:lang w:val="pt-BR"/>
              </w:rPr>
              <w:t>Huỳnh Vĩnh Ái</w:t>
            </w:r>
          </w:p>
        </w:tc>
      </w:tr>
    </w:tbl>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jc w:val="center"/>
        <w:rPr>
          <w:rFonts w:ascii="Times New Roman" w:hAnsi="Times New Roman"/>
          <w:b/>
          <w:bCs/>
          <w:sz w:val="30"/>
          <w:szCs w:val="30"/>
        </w:rPr>
      </w:pPr>
    </w:p>
    <w:p w:rsidR="00DD12FB" w:rsidRDefault="00DD12FB" w:rsidP="00DD12FB">
      <w:pPr>
        <w:ind w:left="1440" w:firstLine="720"/>
        <w:rPr>
          <w:rFonts w:ascii="Times New Roman" w:hAnsi="Times New Roman"/>
        </w:rPr>
      </w:pPr>
    </w:p>
    <w:p w:rsidR="00DD12FB" w:rsidRDefault="00DD12FB" w:rsidP="00DD12FB">
      <w:pPr>
        <w:ind w:left="1440" w:firstLine="720"/>
        <w:rPr>
          <w:rFonts w:ascii="Times New Roman" w:hAnsi="Times New Roman"/>
        </w:rPr>
      </w:pPr>
    </w:p>
    <w:p w:rsidR="00DD12FB" w:rsidRDefault="00DD12FB" w:rsidP="00DD12FB">
      <w:pPr>
        <w:ind w:left="1440" w:firstLine="720"/>
        <w:rPr>
          <w:rFonts w:ascii="Times New Roman" w:hAnsi="Times New Roman"/>
        </w:rPr>
      </w:pPr>
    </w:p>
    <w:p w:rsidR="00DD12FB" w:rsidRDefault="00DD12FB" w:rsidP="00DD12FB">
      <w:pPr>
        <w:ind w:left="1440" w:firstLine="720"/>
        <w:rPr>
          <w:rFonts w:ascii="Times New Roman" w:hAnsi="Times New Roman"/>
        </w:rPr>
      </w:pPr>
    </w:p>
    <w:p w:rsidR="00DD12FB" w:rsidRDefault="00DD12FB" w:rsidP="00DD12FB">
      <w:pPr>
        <w:ind w:left="1440" w:firstLine="720"/>
        <w:rPr>
          <w:rFonts w:ascii="Times New Roman" w:hAnsi="Times New Roman"/>
        </w:rPr>
      </w:pPr>
    </w:p>
    <w:p w:rsidR="00DD12FB" w:rsidRDefault="00DD12FB" w:rsidP="00DD12FB">
      <w:pPr>
        <w:ind w:left="1440" w:firstLine="720"/>
        <w:rPr>
          <w:rFonts w:ascii="Times New Roman" w:hAnsi="Times New Roman"/>
        </w:rPr>
      </w:pPr>
    </w:p>
    <w:p w:rsidR="00DD12FB" w:rsidRDefault="00DD12FB" w:rsidP="00DD12FB">
      <w:pPr>
        <w:ind w:left="1440" w:firstLine="720"/>
        <w:rPr>
          <w:rFonts w:ascii="Times New Roman" w:hAnsi="Times New Roman"/>
        </w:rPr>
      </w:pPr>
    </w:p>
    <w:p w:rsidR="00DD12FB" w:rsidRDefault="00DD12FB" w:rsidP="00DD12FB">
      <w:pPr>
        <w:ind w:left="1440" w:firstLine="720"/>
        <w:rPr>
          <w:rFonts w:ascii="Times New Roman" w:hAnsi="Times New Roman"/>
        </w:rPr>
      </w:pPr>
    </w:p>
    <w:p w:rsidR="00DD12FB" w:rsidRDefault="00DD12FB" w:rsidP="00DD12FB">
      <w:pPr>
        <w:ind w:left="1440" w:firstLine="720"/>
        <w:rPr>
          <w:rFonts w:ascii="Times New Roman" w:hAnsi="Times New Roman"/>
        </w:rPr>
      </w:pPr>
    </w:p>
    <w:p w:rsidR="00DD12FB" w:rsidRDefault="00DD12FB" w:rsidP="00DD12FB">
      <w:pPr>
        <w:ind w:left="1440" w:firstLine="720"/>
        <w:rPr>
          <w:rFonts w:ascii="Times New Roman" w:hAnsi="Times New Roman"/>
        </w:rPr>
      </w:pPr>
    </w:p>
    <w:p w:rsidR="00DD12FB" w:rsidRDefault="00DD12FB" w:rsidP="00DD12FB">
      <w:pPr>
        <w:ind w:left="1440" w:firstLine="720"/>
        <w:rPr>
          <w:rFonts w:ascii="Times New Roman" w:hAnsi="Times New Roman"/>
        </w:rPr>
      </w:pPr>
    </w:p>
    <w:p w:rsidR="00DD12FB" w:rsidRDefault="00DD12FB" w:rsidP="00DD12FB">
      <w:pPr>
        <w:ind w:left="1440" w:firstLine="720"/>
        <w:rPr>
          <w:rFonts w:ascii="Times New Roman" w:hAnsi="Times New Roman"/>
        </w:rPr>
      </w:pPr>
    </w:p>
    <w:p w:rsidR="00DD12FB" w:rsidRDefault="00DD12FB" w:rsidP="00DD12FB">
      <w:pPr>
        <w:ind w:left="1440" w:firstLine="720"/>
        <w:rPr>
          <w:rFonts w:ascii="Times New Roman" w:hAnsi="Times New Roman"/>
        </w:rPr>
      </w:pPr>
    </w:p>
    <w:p w:rsidR="00DD12FB" w:rsidRDefault="00DD12FB" w:rsidP="00DD12FB">
      <w:pPr>
        <w:ind w:left="1440" w:firstLine="720"/>
        <w:rPr>
          <w:rFonts w:ascii="Times New Roman" w:hAnsi="Times New Roman"/>
        </w:rPr>
      </w:pPr>
    </w:p>
    <w:p w:rsidR="00DD12FB" w:rsidRDefault="00DD12FB" w:rsidP="00DD12FB">
      <w:pPr>
        <w:ind w:left="1440" w:firstLine="720"/>
        <w:rPr>
          <w:rFonts w:ascii="Times New Roman" w:hAnsi="Times New Roman"/>
        </w:rPr>
      </w:pPr>
    </w:p>
    <w:p w:rsidR="00DD12FB" w:rsidRDefault="00DD12FB" w:rsidP="00DD12FB">
      <w:pPr>
        <w:ind w:left="1440" w:firstLine="720"/>
        <w:rPr>
          <w:rFonts w:ascii="Times New Roman" w:hAnsi="Times New Roman"/>
        </w:rPr>
      </w:pPr>
    </w:p>
    <w:p w:rsidR="00DD12FB" w:rsidRDefault="00DD12FB" w:rsidP="00DD12FB">
      <w:pPr>
        <w:ind w:left="1440" w:firstLine="720"/>
        <w:rPr>
          <w:rFonts w:ascii="Times New Roman" w:hAnsi="Times New Roman"/>
        </w:rPr>
      </w:pPr>
    </w:p>
    <w:p w:rsidR="00AD17D4" w:rsidRDefault="00AD17D4"/>
    <w:sectPr w:rsidR="00AD17D4" w:rsidSect="00A5582F">
      <w:pgSz w:w="11907" w:h="16840" w:code="9"/>
      <w:pgMar w:top="895" w:right="1134" w:bottom="1134"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20"/>
  <w:drawingGridVerticalSpacing w:val="163"/>
  <w:displayHorizontalDrawingGridEvery w:val="2"/>
  <w:displayVerticalDrawingGridEvery w:val="2"/>
  <w:characterSpacingControl w:val="doNotCompress"/>
  <w:compat/>
  <w:rsids>
    <w:rsidRoot w:val="00DD12FB"/>
    <w:rsid w:val="00004723"/>
    <w:rsid w:val="00004F25"/>
    <w:rsid w:val="0000682B"/>
    <w:rsid w:val="00006D88"/>
    <w:rsid w:val="000124FA"/>
    <w:rsid w:val="0001679C"/>
    <w:rsid w:val="00023851"/>
    <w:rsid w:val="0002642A"/>
    <w:rsid w:val="0003676E"/>
    <w:rsid w:val="00037D6D"/>
    <w:rsid w:val="0004731E"/>
    <w:rsid w:val="0005283A"/>
    <w:rsid w:val="00060314"/>
    <w:rsid w:val="00060BFA"/>
    <w:rsid w:val="000876C4"/>
    <w:rsid w:val="000914F3"/>
    <w:rsid w:val="000A29DD"/>
    <w:rsid w:val="000A5F6A"/>
    <w:rsid w:val="000C4135"/>
    <w:rsid w:val="000D3635"/>
    <w:rsid w:val="000E3878"/>
    <w:rsid w:val="000E545F"/>
    <w:rsid w:val="000F0F9A"/>
    <w:rsid w:val="0011709F"/>
    <w:rsid w:val="001176B6"/>
    <w:rsid w:val="00121027"/>
    <w:rsid w:val="001279C8"/>
    <w:rsid w:val="0013204F"/>
    <w:rsid w:val="0013251A"/>
    <w:rsid w:val="0014104A"/>
    <w:rsid w:val="001458B9"/>
    <w:rsid w:val="00163BE8"/>
    <w:rsid w:val="00164D73"/>
    <w:rsid w:val="00177C5A"/>
    <w:rsid w:val="00186A14"/>
    <w:rsid w:val="00194040"/>
    <w:rsid w:val="00195F6E"/>
    <w:rsid w:val="001A4F52"/>
    <w:rsid w:val="001B4832"/>
    <w:rsid w:val="001C5A63"/>
    <w:rsid w:val="001D57CE"/>
    <w:rsid w:val="001E68A6"/>
    <w:rsid w:val="0020471F"/>
    <w:rsid w:val="00205509"/>
    <w:rsid w:val="00213E2D"/>
    <w:rsid w:val="002140E4"/>
    <w:rsid w:val="002276AD"/>
    <w:rsid w:val="00246BD1"/>
    <w:rsid w:val="00255934"/>
    <w:rsid w:val="0026473B"/>
    <w:rsid w:val="0026566D"/>
    <w:rsid w:val="00272372"/>
    <w:rsid w:val="002877D5"/>
    <w:rsid w:val="00292DD4"/>
    <w:rsid w:val="00296CE7"/>
    <w:rsid w:val="002A370E"/>
    <w:rsid w:val="002B06BD"/>
    <w:rsid w:val="002C2457"/>
    <w:rsid w:val="002C4067"/>
    <w:rsid w:val="002E02DA"/>
    <w:rsid w:val="002E16AD"/>
    <w:rsid w:val="002E3FE7"/>
    <w:rsid w:val="002E7745"/>
    <w:rsid w:val="002F030B"/>
    <w:rsid w:val="002F799C"/>
    <w:rsid w:val="00300085"/>
    <w:rsid w:val="00305229"/>
    <w:rsid w:val="00310E22"/>
    <w:rsid w:val="00313D03"/>
    <w:rsid w:val="00321F26"/>
    <w:rsid w:val="003367A4"/>
    <w:rsid w:val="00360EC7"/>
    <w:rsid w:val="0036689E"/>
    <w:rsid w:val="003674AB"/>
    <w:rsid w:val="00380176"/>
    <w:rsid w:val="00381F24"/>
    <w:rsid w:val="0038461F"/>
    <w:rsid w:val="003865EB"/>
    <w:rsid w:val="003929F5"/>
    <w:rsid w:val="003A2410"/>
    <w:rsid w:val="003A499B"/>
    <w:rsid w:val="003B0929"/>
    <w:rsid w:val="003B3AD3"/>
    <w:rsid w:val="003B5DE2"/>
    <w:rsid w:val="003B769C"/>
    <w:rsid w:val="003C3913"/>
    <w:rsid w:val="003D6A57"/>
    <w:rsid w:val="003E7100"/>
    <w:rsid w:val="003F371B"/>
    <w:rsid w:val="00403F33"/>
    <w:rsid w:val="0041382D"/>
    <w:rsid w:val="00415332"/>
    <w:rsid w:val="004312B7"/>
    <w:rsid w:val="00432DFA"/>
    <w:rsid w:val="004365D2"/>
    <w:rsid w:val="00445554"/>
    <w:rsid w:val="00447D6C"/>
    <w:rsid w:val="00447FF4"/>
    <w:rsid w:val="004504EB"/>
    <w:rsid w:val="00453D0B"/>
    <w:rsid w:val="004600D7"/>
    <w:rsid w:val="00494EF3"/>
    <w:rsid w:val="004A1261"/>
    <w:rsid w:val="004A2001"/>
    <w:rsid w:val="004A450E"/>
    <w:rsid w:val="004A7230"/>
    <w:rsid w:val="004C1619"/>
    <w:rsid w:val="004D3168"/>
    <w:rsid w:val="004E0D4B"/>
    <w:rsid w:val="004E3B48"/>
    <w:rsid w:val="005077E2"/>
    <w:rsid w:val="0051528F"/>
    <w:rsid w:val="0051584E"/>
    <w:rsid w:val="005215E8"/>
    <w:rsid w:val="00521C44"/>
    <w:rsid w:val="005232A0"/>
    <w:rsid w:val="00532E81"/>
    <w:rsid w:val="00541DC5"/>
    <w:rsid w:val="005429C0"/>
    <w:rsid w:val="005527D2"/>
    <w:rsid w:val="005741DD"/>
    <w:rsid w:val="0057620B"/>
    <w:rsid w:val="005860C3"/>
    <w:rsid w:val="0059541F"/>
    <w:rsid w:val="005A3E0D"/>
    <w:rsid w:val="005B53A5"/>
    <w:rsid w:val="005C5271"/>
    <w:rsid w:val="005D721E"/>
    <w:rsid w:val="005E3C8A"/>
    <w:rsid w:val="005F3FC4"/>
    <w:rsid w:val="005F404B"/>
    <w:rsid w:val="006027B5"/>
    <w:rsid w:val="00604BB0"/>
    <w:rsid w:val="00606258"/>
    <w:rsid w:val="00616F6D"/>
    <w:rsid w:val="00621549"/>
    <w:rsid w:val="006243CB"/>
    <w:rsid w:val="00624550"/>
    <w:rsid w:val="00627698"/>
    <w:rsid w:val="00632D5B"/>
    <w:rsid w:val="0063614D"/>
    <w:rsid w:val="00640483"/>
    <w:rsid w:val="00641107"/>
    <w:rsid w:val="00642B17"/>
    <w:rsid w:val="00643041"/>
    <w:rsid w:val="00654A33"/>
    <w:rsid w:val="00673770"/>
    <w:rsid w:val="00674690"/>
    <w:rsid w:val="00685059"/>
    <w:rsid w:val="00690FD7"/>
    <w:rsid w:val="006B7B40"/>
    <w:rsid w:val="006C009A"/>
    <w:rsid w:val="006C2B55"/>
    <w:rsid w:val="006C460E"/>
    <w:rsid w:val="006E3F32"/>
    <w:rsid w:val="006F3917"/>
    <w:rsid w:val="006F719D"/>
    <w:rsid w:val="0070201F"/>
    <w:rsid w:val="0072321B"/>
    <w:rsid w:val="00725CE6"/>
    <w:rsid w:val="00726062"/>
    <w:rsid w:val="0073202F"/>
    <w:rsid w:val="00735BFE"/>
    <w:rsid w:val="00735E30"/>
    <w:rsid w:val="007423B6"/>
    <w:rsid w:val="0075372D"/>
    <w:rsid w:val="00764441"/>
    <w:rsid w:val="00767B4E"/>
    <w:rsid w:val="00773958"/>
    <w:rsid w:val="007758CE"/>
    <w:rsid w:val="00786A65"/>
    <w:rsid w:val="0079291C"/>
    <w:rsid w:val="007A7833"/>
    <w:rsid w:val="007B0F0E"/>
    <w:rsid w:val="007C05DA"/>
    <w:rsid w:val="007C0927"/>
    <w:rsid w:val="00803360"/>
    <w:rsid w:val="008035B7"/>
    <w:rsid w:val="008114CE"/>
    <w:rsid w:val="008116D3"/>
    <w:rsid w:val="00813A7B"/>
    <w:rsid w:val="00824651"/>
    <w:rsid w:val="008270F7"/>
    <w:rsid w:val="00853C5F"/>
    <w:rsid w:val="00857975"/>
    <w:rsid w:val="00860DFE"/>
    <w:rsid w:val="008770C6"/>
    <w:rsid w:val="00884CF3"/>
    <w:rsid w:val="008936F6"/>
    <w:rsid w:val="00896372"/>
    <w:rsid w:val="008B7351"/>
    <w:rsid w:val="008D7B25"/>
    <w:rsid w:val="008F6559"/>
    <w:rsid w:val="00902F9A"/>
    <w:rsid w:val="00903A15"/>
    <w:rsid w:val="009357B0"/>
    <w:rsid w:val="00944D74"/>
    <w:rsid w:val="00946DF1"/>
    <w:rsid w:val="00954B8A"/>
    <w:rsid w:val="00960DFD"/>
    <w:rsid w:val="00973054"/>
    <w:rsid w:val="00974B48"/>
    <w:rsid w:val="00980E2C"/>
    <w:rsid w:val="009A0DDD"/>
    <w:rsid w:val="009A6749"/>
    <w:rsid w:val="009A6799"/>
    <w:rsid w:val="009B5250"/>
    <w:rsid w:val="009D68F8"/>
    <w:rsid w:val="009D73C5"/>
    <w:rsid w:val="009E7F19"/>
    <w:rsid w:val="00A037E1"/>
    <w:rsid w:val="00A11E71"/>
    <w:rsid w:val="00A308BE"/>
    <w:rsid w:val="00A5582F"/>
    <w:rsid w:val="00A60D31"/>
    <w:rsid w:val="00A66C0A"/>
    <w:rsid w:val="00A93C78"/>
    <w:rsid w:val="00AA4431"/>
    <w:rsid w:val="00AA6B3E"/>
    <w:rsid w:val="00AC2810"/>
    <w:rsid w:val="00AC2D51"/>
    <w:rsid w:val="00AC6554"/>
    <w:rsid w:val="00AD17D4"/>
    <w:rsid w:val="00AD6FB6"/>
    <w:rsid w:val="00AE0ED6"/>
    <w:rsid w:val="00AE1726"/>
    <w:rsid w:val="00AF7D58"/>
    <w:rsid w:val="00B03DD3"/>
    <w:rsid w:val="00B106BB"/>
    <w:rsid w:val="00B1507A"/>
    <w:rsid w:val="00B25365"/>
    <w:rsid w:val="00B2682B"/>
    <w:rsid w:val="00B3569A"/>
    <w:rsid w:val="00B41324"/>
    <w:rsid w:val="00B4376F"/>
    <w:rsid w:val="00B506B6"/>
    <w:rsid w:val="00B71113"/>
    <w:rsid w:val="00B73433"/>
    <w:rsid w:val="00B97B68"/>
    <w:rsid w:val="00BB4D62"/>
    <w:rsid w:val="00BC2301"/>
    <w:rsid w:val="00BC763B"/>
    <w:rsid w:val="00BC78F5"/>
    <w:rsid w:val="00BD26AA"/>
    <w:rsid w:val="00BD7566"/>
    <w:rsid w:val="00BE1F3A"/>
    <w:rsid w:val="00BE5580"/>
    <w:rsid w:val="00C05C02"/>
    <w:rsid w:val="00C12C84"/>
    <w:rsid w:val="00C149C5"/>
    <w:rsid w:val="00C21313"/>
    <w:rsid w:val="00C43DD2"/>
    <w:rsid w:val="00C45841"/>
    <w:rsid w:val="00C45CD2"/>
    <w:rsid w:val="00C54DB0"/>
    <w:rsid w:val="00C716E2"/>
    <w:rsid w:val="00C9247F"/>
    <w:rsid w:val="00C968AF"/>
    <w:rsid w:val="00CC1478"/>
    <w:rsid w:val="00CE104B"/>
    <w:rsid w:val="00CF29AD"/>
    <w:rsid w:val="00D04F6D"/>
    <w:rsid w:val="00D10C3C"/>
    <w:rsid w:val="00D124FE"/>
    <w:rsid w:val="00D12755"/>
    <w:rsid w:val="00D2693D"/>
    <w:rsid w:val="00D307DF"/>
    <w:rsid w:val="00D344EC"/>
    <w:rsid w:val="00D46251"/>
    <w:rsid w:val="00D46A3C"/>
    <w:rsid w:val="00D548CD"/>
    <w:rsid w:val="00D557BF"/>
    <w:rsid w:val="00D805F3"/>
    <w:rsid w:val="00D900FD"/>
    <w:rsid w:val="00D97F07"/>
    <w:rsid w:val="00DA53B8"/>
    <w:rsid w:val="00DA5CE6"/>
    <w:rsid w:val="00DB196A"/>
    <w:rsid w:val="00DB3A22"/>
    <w:rsid w:val="00DB3F34"/>
    <w:rsid w:val="00DB5B7E"/>
    <w:rsid w:val="00DC255C"/>
    <w:rsid w:val="00DC2669"/>
    <w:rsid w:val="00DD12FB"/>
    <w:rsid w:val="00DD63A6"/>
    <w:rsid w:val="00DD6AD8"/>
    <w:rsid w:val="00DD6E2B"/>
    <w:rsid w:val="00DE64E2"/>
    <w:rsid w:val="00DF643A"/>
    <w:rsid w:val="00E04527"/>
    <w:rsid w:val="00E04C58"/>
    <w:rsid w:val="00E07782"/>
    <w:rsid w:val="00E419FB"/>
    <w:rsid w:val="00E52758"/>
    <w:rsid w:val="00E626B6"/>
    <w:rsid w:val="00E6378D"/>
    <w:rsid w:val="00E71D84"/>
    <w:rsid w:val="00E73184"/>
    <w:rsid w:val="00E828CC"/>
    <w:rsid w:val="00E85A81"/>
    <w:rsid w:val="00E86E9F"/>
    <w:rsid w:val="00E912E2"/>
    <w:rsid w:val="00E92A11"/>
    <w:rsid w:val="00E94592"/>
    <w:rsid w:val="00EA2EE1"/>
    <w:rsid w:val="00EB4E67"/>
    <w:rsid w:val="00EB508C"/>
    <w:rsid w:val="00EC177B"/>
    <w:rsid w:val="00EC1B7D"/>
    <w:rsid w:val="00EC415D"/>
    <w:rsid w:val="00EC50C7"/>
    <w:rsid w:val="00ED5096"/>
    <w:rsid w:val="00EE0A0D"/>
    <w:rsid w:val="00EE0F85"/>
    <w:rsid w:val="00F05458"/>
    <w:rsid w:val="00F102D1"/>
    <w:rsid w:val="00F10DA4"/>
    <w:rsid w:val="00F13487"/>
    <w:rsid w:val="00F153F4"/>
    <w:rsid w:val="00F23219"/>
    <w:rsid w:val="00F36DAD"/>
    <w:rsid w:val="00F46980"/>
    <w:rsid w:val="00F62BFC"/>
    <w:rsid w:val="00F63B69"/>
    <w:rsid w:val="00F64B77"/>
    <w:rsid w:val="00F7347D"/>
    <w:rsid w:val="00F90A44"/>
    <w:rsid w:val="00F94ACE"/>
    <w:rsid w:val="00FC3722"/>
    <w:rsid w:val="00FD3B84"/>
    <w:rsid w:val="00FD7821"/>
    <w:rsid w:val="00FE18D0"/>
    <w:rsid w:val="00FE5A25"/>
    <w:rsid w:val="00FE67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2FB"/>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2016-11-08T07:36:00Z</cp:lastPrinted>
  <dcterms:created xsi:type="dcterms:W3CDTF">2016-11-08T01:27:00Z</dcterms:created>
  <dcterms:modified xsi:type="dcterms:W3CDTF">2016-11-08T09:35:00Z</dcterms:modified>
</cp:coreProperties>
</file>